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371A7" w:rsidRDefault="0052289A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Blended</w:t>
      </w:r>
      <w:proofErr w:type="spellEnd"/>
      <w:r>
        <w:rPr>
          <w:b/>
          <w:sz w:val="24"/>
          <w:szCs w:val="24"/>
        </w:rPr>
        <w:t xml:space="preserve"> Learning</w:t>
      </w:r>
    </w:p>
    <w:p w14:paraId="00000002" w14:textId="77777777" w:rsidR="00A371A7" w:rsidRDefault="0052289A">
      <w:pPr>
        <w:rPr>
          <w:b/>
        </w:rPr>
      </w:pPr>
      <w:r>
        <w:rPr>
          <w:b/>
        </w:rPr>
        <w:t>Theorien:</w:t>
      </w:r>
    </w:p>
    <w:p w14:paraId="00000003" w14:textId="77777777" w:rsidR="00A371A7" w:rsidRDefault="0052289A">
      <w:pPr>
        <w:rPr>
          <w:u w:val="single"/>
        </w:rPr>
      </w:pPr>
      <w:r>
        <w:rPr>
          <w:u w:val="single"/>
        </w:rPr>
        <w:t>Erziehungswissenschaften</w:t>
      </w:r>
    </w:p>
    <w:p w14:paraId="00000004" w14:textId="77777777" w:rsidR="00A371A7" w:rsidRDefault="005228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Grundbedürfnisse müssen erfüllt werden (Liebe, Geborgenheit, Zuwendung, Förderung der Sinne und Emotionen, kommunikative Kompetenzen, Freude an der Natur, körperliche Bewegung)</w:t>
      </w:r>
    </w:p>
    <w:p w14:paraId="00000005" w14:textId="77777777" w:rsidR="00A371A7" w:rsidRDefault="005228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Erziehung und Bildung (individuelle Bedürfnisse und Individualität fördern)</w:t>
      </w:r>
    </w:p>
    <w:p w14:paraId="00000006" w14:textId="77777777" w:rsidR="00A371A7" w:rsidRDefault="005228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Differenzierte Lernangebote, neue Formen des Lehrens und eine zunehmende Selbststeuerung von Lernprozessen durch die Lernenden</w:t>
      </w:r>
    </w:p>
    <w:p w14:paraId="00000007" w14:textId="77777777" w:rsidR="00A371A7" w:rsidRDefault="0052289A">
      <w:r>
        <w:rPr>
          <w:u w:val="single"/>
        </w:rPr>
        <w:t>Konstruktivistische Lerntheorie:</w:t>
      </w:r>
    </w:p>
    <w:p w14:paraId="00000008" w14:textId="77777777" w:rsidR="00A371A7" w:rsidRDefault="005228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Es geht um lebenslan</w:t>
      </w:r>
      <w:r>
        <w:rPr>
          <w:color w:val="000000"/>
        </w:rPr>
        <w:t>ges Lernen</w:t>
      </w:r>
    </w:p>
    <w:p w14:paraId="00000009" w14:textId="77777777" w:rsidR="00A371A7" w:rsidRDefault="005228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Die Gesellschaft ist im ständigen Wandel</w:t>
      </w:r>
    </w:p>
    <w:p w14:paraId="0000000A" w14:textId="77777777" w:rsidR="00A371A7" w:rsidRDefault="005228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Die Lernenden sollen über die Kompetenz verfügen sich selbst Wissen anzueignen</w:t>
      </w:r>
    </w:p>
    <w:p w14:paraId="0000000B" w14:textId="77777777" w:rsidR="00A371A7" w:rsidRDefault="00A371A7"/>
    <w:p w14:paraId="0000000C" w14:textId="77777777" w:rsidR="00A371A7" w:rsidRDefault="0052289A">
      <w:pPr>
        <w:rPr>
          <w:b/>
        </w:rPr>
      </w:pPr>
      <w:r>
        <w:rPr>
          <w:b/>
        </w:rPr>
        <w:t>Hypothesen:</w:t>
      </w:r>
    </w:p>
    <w:p w14:paraId="0000000D" w14:textId="77777777" w:rsidR="00A371A7" w:rsidRDefault="005228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Blended</w:t>
      </w:r>
      <w:proofErr w:type="spellEnd"/>
      <w:r>
        <w:rPr>
          <w:color w:val="000000"/>
        </w:rPr>
        <w:t xml:space="preserve"> Learning fördert die Heterogenität und </w:t>
      </w:r>
      <w:proofErr w:type="spellStart"/>
      <w:r>
        <w:rPr>
          <w:color w:val="000000"/>
        </w:rPr>
        <w:t>Indiviudalität</w:t>
      </w:r>
      <w:proofErr w:type="spellEnd"/>
      <w:r>
        <w:rPr>
          <w:color w:val="000000"/>
        </w:rPr>
        <w:t xml:space="preserve">. </w:t>
      </w:r>
    </w:p>
    <w:p w14:paraId="0000000E" w14:textId="77777777" w:rsidR="00A371A7" w:rsidRDefault="005228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Das Angebot von Leistungsdifferenzierten Aufgaben erhöht die Motivation.</w:t>
      </w:r>
    </w:p>
    <w:p w14:paraId="0000000F" w14:textId="77777777" w:rsidR="00A371A7" w:rsidRDefault="00A371A7"/>
    <w:p w14:paraId="00000010" w14:textId="77777777" w:rsidR="00A371A7" w:rsidRDefault="0052289A">
      <w:pPr>
        <w:rPr>
          <w:b/>
        </w:rPr>
      </w:pPr>
      <w:r>
        <w:rPr>
          <w:b/>
        </w:rPr>
        <w:t>Begründung Hypothese 1:</w:t>
      </w:r>
    </w:p>
    <w:p w14:paraId="00000011" w14:textId="77777777" w:rsidR="00A371A7" w:rsidRDefault="0052289A">
      <w:r>
        <w:t xml:space="preserve">Die Lernenden haben beim </w:t>
      </w:r>
      <w:proofErr w:type="spellStart"/>
      <w:r>
        <w:t>Blended</w:t>
      </w:r>
      <w:proofErr w:type="spellEnd"/>
      <w:r>
        <w:t xml:space="preserve"> Learning keine passive Rolle. Die Selbstverantwortung spielt eine große Rolle und durch das Selbststudium kann jeder und jede</w:t>
      </w:r>
      <w:r>
        <w:t xml:space="preserve"> das Lernen was er/sie braucht.</w:t>
      </w:r>
    </w:p>
    <w:p w14:paraId="00000012" w14:textId="77777777" w:rsidR="00A371A7" w:rsidRDefault="0052289A">
      <w:bookmarkStart w:id="0" w:name="_heading=h.gjdgxs" w:colFirst="0" w:colLast="0"/>
      <w:bookmarkEnd w:id="0"/>
      <w:r>
        <w:t xml:space="preserve">Die Inhalte müssen sinnvoll gewählt, gut durchdacht werden und es sind kleine und große Erfolgsergebnisse wichtig. Abwechslung und auch die sozialen Interaktionen sind essentiell beim </w:t>
      </w:r>
      <w:proofErr w:type="spellStart"/>
      <w:r>
        <w:t>Blended</w:t>
      </w:r>
      <w:proofErr w:type="spellEnd"/>
      <w:r>
        <w:t xml:space="preserve"> Learning. (</w:t>
      </w:r>
      <w:proofErr w:type="spellStart"/>
      <w:r>
        <w:t>Hentrey</w:t>
      </w:r>
      <w:proofErr w:type="spellEnd"/>
      <w:r>
        <w:t xml:space="preserve">, </w:t>
      </w:r>
      <w:proofErr w:type="spellStart"/>
      <w:r>
        <w:t>Freihaut</w:t>
      </w:r>
      <w:proofErr w:type="spellEnd"/>
      <w:r>
        <w:t xml:space="preserve">, &amp; </w:t>
      </w:r>
      <w:proofErr w:type="spellStart"/>
      <w:r>
        <w:t>Rosomm</w:t>
      </w:r>
      <w:proofErr w:type="spellEnd"/>
      <w:r>
        <w:t>, 2019)</w:t>
      </w:r>
    </w:p>
    <w:p w14:paraId="00000013" w14:textId="77777777" w:rsidR="00A371A7" w:rsidRDefault="00A371A7"/>
    <w:p w14:paraId="00000014" w14:textId="77777777" w:rsidR="00A371A7" w:rsidRDefault="0052289A">
      <w:pPr>
        <w:rPr>
          <w:b/>
        </w:rPr>
      </w:pPr>
      <w:r>
        <w:rPr>
          <w:b/>
        </w:rPr>
        <w:t>Begründung Hypothese 2:</w:t>
      </w:r>
    </w:p>
    <w:p w14:paraId="00000015" w14:textId="2E41A551" w:rsidR="00A371A7" w:rsidRDefault="0052289A">
      <w:r>
        <w:t>Lernende brauchen Motivation sowie Erfolgserlebnisse. Das Risiko-Wahl-Modell basiert auf der Annahme, dass die Anspruchsniveausetzung von der Erfolgswahrscheinlichkeit (Erwartungskomponente) und vom Erfolgsanreiz (Wer</w:t>
      </w:r>
      <w:r>
        <w:t>tkomponente) abhängt. Um jeden Schüler und jeder Schülerin die Möglichkeit zu geben das individuelle Anspruchsniveau auszureizen muss es eine Vielzahl an Leistungsdifferenzierten Übungen zur Auswahl geben. Diese Aufgaben könnten als “leicht”, “mittel”, “sc</w:t>
      </w:r>
      <w:r>
        <w:t xml:space="preserve">hwer” oder auch als “Anfänger”, “Fortgeschrittene”,  Experte” </w:t>
      </w:r>
      <w:r>
        <w:t xml:space="preserve">gekennzeichnet sein und sollten frei wählbar sein. </w:t>
      </w:r>
      <w:bookmarkStart w:id="1" w:name="_GoBack"/>
      <w:bookmarkEnd w:id="1"/>
      <w:r>
        <w:t>(</w:t>
      </w:r>
      <w:proofErr w:type="spellStart"/>
      <w:r>
        <w:t>Hasselhorn</w:t>
      </w:r>
      <w:proofErr w:type="spellEnd"/>
      <w:r>
        <w:t xml:space="preserve"> &amp; Gold, 2013)</w:t>
      </w:r>
    </w:p>
    <w:p w14:paraId="00000016" w14:textId="77777777" w:rsidR="00A371A7" w:rsidRDefault="0052289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rPr>
          <w:color w:val="2E75B5"/>
          <w:sz w:val="32"/>
          <w:szCs w:val="32"/>
        </w:rPr>
      </w:pPr>
      <w:r>
        <w:rPr>
          <w:color w:val="2E75B5"/>
          <w:sz w:val="32"/>
          <w:szCs w:val="32"/>
        </w:rPr>
        <w:t>Literaturverzeichnis</w:t>
      </w:r>
    </w:p>
    <w:p w14:paraId="00000017" w14:textId="77777777" w:rsidR="00A371A7" w:rsidRDefault="0052289A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proofErr w:type="spellStart"/>
      <w:r>
        <w:rPr>
          <w:color w:val="000000"/>
        </w:rPr>
        <w:t>Hentrey</w:t>
      </w:r>
      <w:proofErr w:type="spellEnd"/>
      <w:r>
        <w:rPr>
          <w:color w:val="000000"/>
        </w:rPr>
        <w:t xml:space="preserve">, M., </w:t>
      </w:r>
      <w:proofErr w:type="spellStart"/>
      <w:r>
        <w:rPr>
          <w:color w:val="000000"/>
        </w:rPr>
        <w:t>Freihaut</w:t>
      </w:r>
      <w:proofErr w:type="spellEnd"/>
      <w:r>
        <w:rPr>
          <w:color w:val="000000"/>
        </w:rPr>
        <w:t xml:space="preserve">, A., &amp; </w:t>
      </w:r>
      <w:proofErr w:type="spellStart"/>
      <w:r>
        <w:rPr>
          <w:color w:val="000000"/>
        </w:rPr>
        <w:t>Rosomm</w:t>
      </w:r>
      <w:proofErr w:type="spellEnd"/>
      <w:r>
        <w:rPr>
          <w:color w:val="000000"/>
        </w:rPr>
        <w:t xml:space="preserve">, D. (2019). </w:t>
      </w:r>
      <w:r>
        <w:rPr>
          <w:i/>
          <w:color w:val="000000"/>
        </w:rPr>
        <w:t xml:space="preserve">Die </w:t>
      </w:r>
      <w:proofErr w:type="spellStart"/>
      <w:r>
        <w:rPr>
          <w:i/>
          <w:color w:val="000000"/>
        </w:rPr>
        <w:t>Blended</w:t>
      </w:r>
      <w:proofErr w:type="spellEnd"/>
      <w:r>
        <w:rPr>
          <w:i/>
          <w:color w:val="000000"/>
        </w:rPr>
        <w:t>-Learning Fibel.</w:t>
      </w:r>
      <w:r>
        <w:rPr>
          <w:color w:val="000000"/>
        </w:rPr>
        <w:t xml:space="preserve"> Düsseldorf: Bildungsinnovator.</w:t>
      </w:r>
    </w:p>
    <w:p w14:paraId="0000001A" w14:textId="1058E751" w:rsidR="00A371A7" w:rsidRDefault="0052289A" w:rsidP="0052289A">
      <w:pPr>
        <w:pBdr>
          <w:top w:val="nil"/>
          <w:left w:val="nil"/>
          <w:bottom w:val="nil"/>
          <w:right w:val="nil"/>
          <w:between w:val="nil"/>
        </w:pBdr>
        <w:ind w:left="720" w:hanging="720"/>
      </w:pPr>
      <w:proofErr w:type="spellStart"/>
      <w:r>
        <w:t>Hasselhorn</w:t>
      </w:r>
      <w:proofErr w:type="spellEnd"/>
      <w:r>
        <w:t xml:space="preserve"> &amp; Gold, (2013).</w:t>
      </w:r>
      <w:r>
        <w:rPr>
          <w:i/>
        </w:rPr>
        <w:t xml:space="preserve"> Pädagogische Psychologie</w:t>
      </w:r>
      <w:r>
        <w:t>. Stuttgart: Kohlhammer.</w:t>
      </w:r>
    </w:p>
    <w:p w14:paraId="0000001B" w14:textId="77777777" w:rsidR="00A371A7" w:rsidRDefault="00A371A7"/>
    <w:p w14:paraId="0000001C" w14:textId="77777777" w:rsidR="00A371A7" w:rsidRDefault="00A371A7"/>
    <w:p w14:paraId="0000001D" w14:textId="77777777" w:rsidR="00A371A7" w:rsidRDefault="00A371A7"/>
    <w:sectPr w:rsidR="00A371A7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71BBD"/>
    <w:multiLevelType w:val="multilevel"/>
    <w:tmpl w:val="99D05F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91B0D47"/>
    <w:multiLevelType w:val="multilevel"/>
    <w:tmpl w:val="144864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371A7"/>
    <w:rsid w:val="0052289A"/>
    <w:rsid w:val="00A3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de-DE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13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C20BE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D7527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135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styleId="Literaturverzeichnis">
    <w:name w:val="Bibliography"/>
    <w:basedOn w:val="Standard"/>
    <w:next w:val="Standard"/>
    <w:uiPriority w:val="37"/>
    <w:unhideWhenUsed/>
    <w:rsid w:val="00DD1358"/>
  </w:style>
  <w:style w:type="paragraph" w:styleId="Untertitel">
    <w:name w:val="Subtitle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de-DE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13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C20BE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D7527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135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styleId="Literaturverzeichnis">
    <w:name w:val="Bibliography"/>
    <w:basedOn w:val="Standard"/>
    <w:next w:val="Standard"/>
    <w:uiPriority w:val="37"/>
    <w:unhideWhenUsed/>
    <w:rsid w:val="00DD1358"/>
  </w:style>
  <w:style w:type="paragraph" w:styleId="Untertitel">
    <w:name w:val="Subtitle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78DI/P1IQm6gR5f1CxLj0RsnGQ==">AMUW2mUPB6U+WMROly75dsYbskQNOOC4DgD/493CoFbIIdF5AVsCWVqOLE+SxycmjLi4NvLTSo9N77r96PdCsmM/pcAxmI4+RTeOoEv8+ughg21jXgl1uguo9hSKZN+lVMvOM5OryqmC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Mösenbichler Hannah - LK Salzburg</dc:creator>
  <cp:lastModifiedBy>Dana Tschulik</cp:lastModifiedBy>
  <cp:revision>2</cp:revision>
  <dcterms:created xsi:type="dcterms:W3CDTF">2021-03-13T13:21:00Z</dcterms:created>
  <dcterms:modified xsi:type="dcterms:W3CDTF">2021-03-13T13:21:00Z</dcterms:modified>
</cp:coreProperties>
</file>